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bidi w:val="1"/>
        <w:jc w:val="right"/>
      </w:pPr>
      <w:r>
        <w:rPr>
          <w:b/>
          <w:color w:val="1E4D8C"/>
          <w:sz w:val="20"/>
        </w:rPr>
        <w:t>معرض الأعمال - نموذج تفريغ صوتي وتنسيق مستندات احترافي</w:t>
      </w:r>
    </w:p>
    <w:p>
      <w:pPr>
        <w:bidi w:val="1"/>
        <w:jc w:val="right"/>
      </w:pPr>
      <w:r>
        <w:rPr>
          <w:b/>
          <w:color w:val="123466"/>
          <w:sz w:val="32"/>
        </w:rPr>
        <w:t>محضر اجتماع وتفريغ جلسة حوارية: التحول نحو بيئات العمل الرقمية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4968"/>
            <w:shd w:val="clear" w:color="auto" w:fill="F1F5F9"/>
          </w:tcPr>
          <w:p>
            <w:pPr>
              <w:bidi w:val="1"/>
              <w:jc w:val="right"/>
            </w:pPr>
            <w:r>
              <w:rPr>
                <w:b/>
                <w:color w:val="1E293B"/>
                <w:sz w:val="19"/>
              </w:rPr>
              <w:t>مصدر الملف:</w:t>
            </w:r>
          </w:p>
        </w:tc>
        <w:tc>
          <w:tcPr>
            <w:tcW w:type="dxa" w:w="4968"/>
            <w:shd w:val="clear" w:color="auto" w:fill="FFFFFF"/>
          </w:tcPr>
          <w:p>
            <w:pPr>
              <w:bidi w:val="1"/>
              <w:jc w:val="right"/>
            </w:pPr>
            <w:r>
              <w:rPr>
                <w:color w:val="334155"/>
                <w:sz w:val="19"/>
              </w:rPr>
              <w:t>تسجيل صوتي (جلسة نقاشية) مدتها 20 دقيقة</w:t>
            </w:r>
          </w:p>
        </w:tc>
      </w:tr>
      <w:tr>
        <w:tc>
          <w:tcPr>
            <w:tcW w:type="dxa" w:w="4968"/>
            <w:shd w:val="clear" w:color="auto" w:fill="F1F5F9"/>
          </w:tcPr>
          <w:p>
            <w:pPr>
              <w:bidi w:val="1"/>
              <w:jc w:val="right"/>
            </w:pPr>
            <w:r>
              <w:rPr>
                <w:b/>
                <w:color w:val="1E293B"/>
                <w:sz w:val="19"/>
              </w:rPr>
              <w:t>المتحدثون:</w:t>
            </w:r>
          </w:p>
        </w:tc>
        <w:tc>
          <w:tcPr>
            <w:tcW w:type="dxa" w:w="4968"/>
            <w:shd w:val="clear" w:color="auto" w:fill="FFFFFF"/>
          </w:tcPr>
          <w:p>
            <w:pPr>
              <w:bidi w:val="1"/>
              <w:jc w:val="right"/>
            </w:pPr>
            <w:r>
              <w:rPr>
                <w:color w:val="334155"/>
                <w:sz w:val="19"/>
              </w:rPr>
              <w:t>د. عبد الرحمن الخالد (مدير التطوير) / أ. سارة المنصور (مستشارة تقنية)</w:t>
            </w:r>
          </w:p>
        </w:tc>
      </w:tr>
      <w:tr>
        <w:tc>
          <w:tcPr>
            <w:tcW w:type="dxa" w:w="4968"/>
            <w:shd w:val="clear" w:color="auto" w:fill="F1F5F9"/>
          </w:tcPr>
          <w:p>
            <w:pPr>
              <w:bidi w:val="1"/>
              <w:jc w:val="right"/>
            </w:pPr>
            <w:r>
              <w:rPr>
                <w:b/>
                <w:color w:val="1E293B"/>
                <w:sz w:val="19"/>
              </w:rPr>
              <w:t>مستوى التدقيق:</w:t>
            </w:r>
          </w:p>
        </w:tc>
        <w:tc>
          <w:tcPr>
            <w:tcW w:type="dxa" w:w="4968"/>
            <w:shd w:val="clear" w:color="auto" w:fill="FFFFFF"/>
          </w:tcPr>
          <w:p>
            <w:pPr>
              <w:bidi w:val="1"/>
              <w:jc w:val="right"/>
            </w:pPr>
            <w:r>
              <w:rPr>
                <w:color w:val="334155"/>
                <w:sz w:val="19"/>
              </w:rPr>
              <w:t>تفريغ كامل، تدقيق نحوي وإملائي، مع علامات الترقيم والتوقيت الزمني (Timestamps)</w:t>
            </w:r>
          </w:p>
        </w:tc>
      </w:tr>
      <w:tr>
        <w:tc>
          <w:tcPr>
            <w:tcW w:type="dxa" w:w="4968"/>
            <w:shd w:val="clear" w:color="auto" w:fill="F1F5F9"/>
          </w:tcPr>
          <w:p>
            <w:pPr>
              <w:bidi w:val="1"/>
              <w:jc w:val="right"/>
            </w:pPr>
            <w:r>
              <w:rPr>
                <w:b/>
                <w:color w:val="1E293B"/>
                <w:sz w:val="19"/>
              </w:rPr>
              <w:t>الصيغة النهائية:</w:t>
            </w:r>
          </w:p>
        </w:tc>
        <w:tc>
          <w:tcPr>
            <w:tcW w:type="dxa" w:w="4968"/>
            <w:shd w:val="clear" w:color="auto" w:fill="FFFFFF"/>
          </w:tcPr>
          <w:p>
            <w:pPr>
              <w:bidi w:val="1"/>
              <w:jc w:val="right"/>
            </w:pPr>
            <w:r>
              <w:rPr>
                <w:color w:val="334155"/>
                <w:sz w:val="19"/>
              </w:rPr>
              <w:t>ملف Word منسق ومبوب بجداول ونقاط تنفيذية</w:t>
            </w:r>
          </w:p>
        </w:tc>
      </w:tr>
    </w:tbl>
    <w:p/>
    <w:p>
      <w:pPr>
        <w:bidi w:val="1"/>
        <w:jc w:val="right"/>
      </w:pPr>
      <w:r>
        <w:rPr>
          <w:b/>
          <w:color w:val="123466"/>
          <w:sz w:val="25"/>
        </w:rPr>
        <w:t>أولاً: التفريغ النصي الدقيق مع التوقيت الزمني (Verbatim &amp; Timestamps)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312"/>
            <w:shd w:val="clear" w:color="auto" w:fill="E2E8F0"/>
          </w:tcPr>
          <w:p>
            <w:pPr>
              <w:bidi w:val="1"/>
              <w:jc w:val="right"/>
            </w:pPr>
            <w:r>
              <w:rPr>
                <w:b/>
                <w:color w:val="0F172A"/>
                <w:sz w:val="20"/>
              </w:rPr>
              <w:t>التوقيت</w:t>
            </w:r>
          </w:p>
        </w:tc>
        <w:tc>
          <w:tcPr>
            <w:tcW w:type="dxa" w:w="3312"/>
            <w:shd w:val="clear" w:color="auto" w:fill="E2E8F0"/>
          </w:tcPr>
          <w:p>
            <w:pPr>
              <w:bidi w:val="1"/>
              <w:jc w:val="right"/>
            </w:pPr>
            <w:r>
              <w:rPr>
                <w:b/>
                <w:color w:val="0F172A"/>
                <w:sz w:val="20"/>
              </w:rPr>
              <w:t>المتحدث</w:t>
            </w:r>
          </w:p>
        </w:tc>
        <w:tc>
          <w:tcPr>
            <w:tcW w:type="dxa" w:w="3312"/>
            <w:shd w:val="clear" w:color="auto" w:fill="E2E8F0"/>
          </w:tcPr>
          <w:p>
            <w:pPr>
              <w:bidi w:val="1"/>
              <w:jc w:val="right"/>
            </w:pPr>
            <w:r>
              <w:rPr>
                <w:b/>
                <w:color w:val="0F172A"/>
                <w:sz w:val="20"/>
              </w:rPr>
              <w:t>النص المفرغ والمدقق</w:t>
            </w:r>
          </w:p>
        </w:tc>
      </w:tr>
      <w:tr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0284C7"/>
                <w:sz w:val="19"/>
              </w:rPr>
              <w:t>[00:00:15]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334155"/>
                <w:sz w:val="19"/>
              </w:rPr>
              <w:t>د. عبد الرحمن الخالد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sz w:val="19"/>
              </w:rPr>
              <w:t>أهلاً بالجميع، نبدأ اليوم مناقشة التحديات التي واجهت فرق العمل عن بُعد خلال الربع الماضي، والحلول المقترحة لأتمتة المهام الروتينية.</w:t>
            </w:r>
          </w:p>
        </w:tc>
      </w:tr>
      <w:tr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0284C7"/>
                <w:sz w:val="19"/>
              </w:rPr>
              <w:t>[00:01:42]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334155"/>
                <w:sz w:val="19"/>
              </w:rPr>
              <w:t>أ. سارة المنصور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sz w:val="19"/>
              </w:rPr>
              <w:t>شكراً دكتور. لاحظنا أن المشكلة الأساسية لم تكن في كفاءة الموظفين، بل في تشتت قنوات التواصل وغياب التوثيق المركزي للملفات والمشاريع.</w:t>
            </w:r>
          </w:p>
        </w:tc>
      </w:tr>
      <w:tr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0284C7"/>
                <w:sz w:val="19"/>
              </w:rPr>
              <w:t>[00:03:10]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334155"/>
                <w:sz w:val="19"/>
              </w:rPr>
              <w:t>د. عبد الرحمن الخالد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sz w:val="19"/>
              </w:rPr>
              <w:t>هذه نقطة جوهرية. ما هي الأدوات التي تقترحين اعتمادها لتوحيد بيئة العمل وتحسين سرعة التسليم؟</w:t>
            </w:r>
          </w:p>
        </w:tc>
      </w:tr>
      <w:tr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0284C7"/>
                <w:sz w:val="19"/>
              </w:rPr>
              <w:t>[00:04:25]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b/>
                <w:color w:val="334155"/>
                <w:sz w:val="19"/>
              </w:rPr>
              <w:t>أ. سارة المنصور</w:t>
            </w:r>
          </w:p>
        </w:tc>
        <w:tc>
          <w:tcPr>
            <w:tcW w:type="dxa" w:w="3312"/>
          </w:tcPr>
          <w:p>
            <w:pPr>
              <w:bidi w:val="1"/>
              <w:jc w:val="right"/>
            </w:pPr>
            <w:r>
              <w:rPr>
                <w:sz w:val="19"/>
              </w:rPr>
              <w:t>نقترح اعتماد منصة سحابية موحدة لإدارة المهام وتوثيق المحاضر، مع وضع دليل إجرائي واضح يلتزم به جميع أعضاء الفريق.</w:t>
            </w:r>
          </w:p>
        </w:tc>
      </w:tr>
    </w:tbl>
    <w:p/>
    <w:p>
      <w:pPr>
        <w:bidi w:val="1"/>
        <w:jc w:val="right"/>
      </w:pPr>
      <w:r>
        <w:rPr>
          <w:b/>
          <w:color w:val="123466"/>
          <w:sz w:val="25"/>
        </w:rPr>
        <w:t>ثانياً: التلخيص التنفيذي وقرارات الجلسة (Action Items)</w:t>
      </w:r>
    </w:p>
    <w:p>
      <w:pPr>
        <w:bidi w:val="1"/>
        <w:jc w:val="right"/>
      </w:pPr>
      <w:r>
        <w:rPr>
          <w:b/>
          <w:color w:val="1E293B"/>
          <w:sz w:val="20"/>
        </w:rPr>
        <w:t xml:space="preserve">• توحيد منصة التواصل وإدارة المشاريع: </w:t>
      </w:r>
      <w:r>
        <w:rPr>
          <w:color w:val="475569"/>
          <w:sz w:val="20"/>
        </w:rPr>
        <w:t>إنهاء الاعتماد على القنوات غير الرسمية ونقل جميع المتابعات إلى أداة سحابية مركزية خلال أسبوعين.</w:t>
      </w:r>
    </w:p>
    <w:p>
      <w:pPr>
        <w:bidi w:val="1"/>
        <w:jc w:val="right"/>
      </w:pPr>
      <w:r>
        <w:rPr>
          <w:b/>
          <w:color w:val="1E293B"/>
          <w:sz w:val="20"/>
        </w:rPr>
        <w:t xml:space="preserve">• إعداد دليل السياسات والإجراءات الرقمية: </w:t>
      </w:r>
      <w:r>
        <w:rPr>
          <w:color w:val="475569"/>
          <w:sz w:val="20"/>
        </w:rPr>
        <w:t>تكليف الفريق التقني بصياغة وثيقة واضحة لتنظيم اجتماعات العمل عن بُعد وتوثيق المخرجات.</w:t>
      </w:r>
    </w:p>
    <w:p>
      <w:pPr>
        <w:bidi w:val="1"/>
        <w:jc w:val="right"/>
      </w:pPr>
      <w:r>
        <w:rPr>
          <w:b/>
          <w:color w:val="1E293B"/>
          <w:sz w:val="20"/>
        </w:rPr>
        <w:t xml:space="preserve">• جلسة تدريبية للموظفين: </w:t>
      </w:r>
      <w:r>
        <w:rPr>
          <w:color w:val="475569"/>
          <w:sz w:val="20"/>
        </w:rPr>
        <w:t>عقد ورشة عمل تدريبية للكوادر على استخدام الأدوات الجديدة وقياس مدى تفاعلهم وكفاءة الأداء.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